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75"/>
        <w:tblW w:w="10343" w:type="dxa"/>
        <w:tblLayout w:type="fixed"/>
        <w:tblLook w:val="04A0" w:firstRow="1" w:lastRow="0" w:firstColumn="1" w:lastColumn="0" w:noHBand="0" w:noVBand="1"/>
      </w:tblPr>
      <w:tblGrid>
        <w:gridCol w:w="834"/>
        <w:gridCol w:w="3556"/>
        <w:gridCol w:w="3827"/>
        <w:gridCol w:w="2126"/>
      </w:tblGrid>
      <w:tr w:rsidR="0042160D" w:rsidRPr="00981FAF" w14:paraId="2E4735A7" w14:textId="77777777" w:rsidTr="005B6AF2">
        <w:trPr>
          <w:trHeight w:val="31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D0AC" w14:textId="320F4250" w:rsidR="0042160D" w:rsidRPr="00981FAF" w:rsidRDefault="00DD7263" w:rsidP="005B6AF2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noProof/>
                <w:sz w:val="32"/>
                <w:szCs w:val="32"/>
              </w:rPr>
              <w:t xml:space="preserve">THỦ TỤC </w:t>
            </w:r>
            <w:r w:rsidR="00981FAF">
              <w:rPr>
                <w:rFonts w:cs="Times New Roman"/>
                <w:b/>
                <w:bCs/>
                <w:noProof/>
                <w:sz w:val="32"/>
                <w:szCs w:val="32"/>
              </w:rPr>
              <w:t xml:space="preserve">LĨNH VỰC </w:t>
            </w:r>
            <w:r w:rsidR="0042160D" w:rsidRPr="00981FAF">
              <w:rPr>
                <w:rFonts w:cs="Times New Roman"/>
                <w:b/>
                <w:bCs/>
                <w:noProof/>
                <w:sz w:val="32"/>
                <w:szCs w:val="32"/>
              </w:rPr>
              <w:t xml:space="preserve"> XÂY DỰNG</w:t>
            </w:r>
          </w:p>
          <w:p w14:paraId="1DE67C9C" w14:textId="54A06DE1" w:rsidR="00CD28D8" w:rsidRPr="00981FAF" w:rsidRDefault="00CD28D8" w:rsidP="005B6AF2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Cs w:val="28"/>
              </w:rPr>
            </w:pPr>
          </w:p>
        </w:tc>
      </w:tr>
      <w:tr w:rsidR="002B080C" w:rsidRPr="00981FAF" w14:paraId="3AEBBFDE" w14:textId="77777777" w:rsidTr="005B6AF2">
        <w:trPr>
          <w:trHeight w:val="3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D9C0" w14:textId="27B34711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77CF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1.000314.H61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30F7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đấu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nối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tạm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vào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bộ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đang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thác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62CC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14A39B31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0E3B6397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7060DC6" w14:textId="4B076451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35EAF859" wp14:editId="4F105452">
                  <wp:extent cx="1046480" cy="1046480"/>
                  <wp:effectExtent l="0" t="0" r="1270" b="1270"/>
                  <wp:docPr id="705115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3AA024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5C5DD13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4C75BCF" w14:textId="4D32FD03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917513" w:rsidRPr="00981FAF" w14:paraId="46259996" w14:textId="77777777" w:rsidTr="005B6AF2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8949" w14:textId="23BA191D" w:rsidR="00917513" w:rsidRPr="00981FAF" w:rsidRDefault="00917513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C8ECD" w14:textId="77777777" w:rsidR="005A746F" w:rsidRDefault="005A746F" w:rsidP="005B6AF2">
            <w:pPr>
              <w:spacing w:after="0" w:line="240" w:lineRule="auto"/>
              <w:jc w:val="center"/>
            </w:pPr>
          </w:p>
          <w:p w14:paraId="17FF490F" w14:textId="77777777" w:rsidR="005A746F" w:rsidRDefault="005A746F" w:rsidP="005B6AF2">
            <w:pPr>
              <w:spacing w:after="0" w:line="240" w:lineRule="auto"/>
              <w:jc w:val="center"/>
            </w:pPr>
          </w:p>
          <w:p w14:paraId="37A27E38" w14:textId="77777777" w:rsidR="005A746F" w:rsidRDefault="005A746F" w:rsidP="005B6AF2">
            <w:pPr>
              <w:spacing w:after="0" w:line="240" w:lineRule="auto"/>
              <w:jc w:val="center"/>
            </w:pPr>
          </w:p>
          <w:p w14:paraId="6FD105E7" w14:textId="77777777" w:rsidR="005A746F" w:rsidRDefault="005A746F" w:rsidP="005B6AF2">
            <w:pPr>
              <w:spacing w:after="0" w:line="240" w:lineRule="auto"/>
              <w:jc w:val="center"/>
            </w:pPr>
          </w:p>
          <w:p w14:paraId="249B5CA2" w14:textId="39932EFB" w:rsidR="00917513" w:rsidRPr="008B6430" w:rsidRDefault="00F0546D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hyperlink r:id="rId6" w:history="1">
              <w:r w:rsidR="00917513" w:rsidRPr="008B6430">
                <w:rPr>
                  <w:rStyle w:val="Hyperlink"/>
                  <w:rFonts w:cs="Times New Roman"/>
                  <w:color w:val="000000" w:themeColor="text1"/>
                  <w:szCs w:val="28"/>
                  <w:u w:val="none"/>
                </w:rPr>
                <w:t>1.002372.000.00.00.H13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5869C" w14:textId="77777777" w:rsidR="005A746F" w:rsidRDefault="005A746F" w:rsidP="005B6AF2">
            <w:pPr>
              <w:spacing w:after="0" w:line="240" w:lineRule="auto"/>
              <w:rPr>
                <w:rFonts w:cs="Times New Roman"/>
                <w:color w:val="1E2F41"/>
                <w:szCs w:val="28"/>
              </w:rPr>
            </w:pPr>
          </w:p>
          <w:p w14:paraId="4E09F493" w14:textId="77777777" w:rsidR="005A746F" w:rsidRDefault="005A746F" w:rsidP="005B6AF2">
            <w:pPr>
              <w:spacing w:after="0" w:line="240" w:lineRule="auto"/>
              <w:rPr>
                <w:rFonts w:cs="Times New Roman"/>
                <w:color w:val="1E2F41"/>
                <w:szCs w:val="28"/>
              </w:rPr>
            </w:pPr>
          </w:p>
          <w:p w14:paraId="6EF88670" w14:textId="77777777" w:rsidR="005A746F" w:rsidRDefault="005A746F" w:rsidP="005B6AF2">
            <w:pPr>
              <w:spacing w:after="0" w:line="240" w:lineRule="auto"/>
              <w:rPr>
                <w:rFonts w:cs="Times New Roman"/>
                <w:color w:val="1E2F41"/>
                <w:szCs w:val="28"/>
              </w:rPr>
            </w:pPr>
          </w:p>
          <w:p w14:paraId="4F4A6B20" w14:textId="77777777" w:rsidR="005A746F" w:rsidRDefault="005A746F" w:rsidP="005B6AF2">
            <w:pPr>
              <w:spacing w:after="0" w:line="240" w:lineRule="auto"/>
              <w:rPr>
                <w:rFonts w:cs="Times New Roman"/>
                <w:color w:val="1E2F41"/>
                <w:szCs w:val="28"/>
              </w:rPr>
            </w:pPr>
          </w:p>
          <w:p w14:paraId="773D85A5" w14:textId="27D1A507" w:rsidR="00917513" w:rsidRPr="00981FAF" w:rsidRDefault="00917513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Xác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nhận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việc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trình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kháng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nghị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hàng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hải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83EE" w14:textId="77777777" w:rsidR="005455F7" w:rsidRDefault="005455F7" w:rsidP="005B6AF2">
            <w:pPr>
              <w:pStyle w:val="NormalWeb"/>
              <w:rPr>
                <w:noProof/>
                <w:sz w:val="28"/>
                <w:szCs w:val="28"/>
              </w:rPr>
            </w:pPr>
          </w:p>
          <w:p w14:paraId="7C062342" w14:textId="24FB111D" w:rsidR="00917513" w:rsidRPr="00981FAF" w:rsidRDefault="00917513" w:rsidP="005B6AF2">
            <w:pPr>
              <w:pStyle w:val="NormalWeb"/>
              <w:rPr>
                <w:sz w:val="28"/>
                <w:szCs w:val="28"/>
              </w:rPr>
            </w:pPr>
            <w:r w:rsidRPr="00981FAF">
              <w:rPr>
                <w:noProof/>
                <w:sz w:val="28"/>
                <w:szCs w:val="28"/>
              </w:rPr>
              <w:drawing>
                <wp:inline distT="0" distB="0" distL="0" distR="0" wp14:anchorId="12839DCE" wp14:editId="2C5DAB92">
                  <wp:extent cx="1095375" cy="1143000"/>
                  <wp:effectExtent l="0" t="0" r="9525" b="0"/>
                  <wp:docPr id="2" name="Picture 2" descr="C:\Users\Ke Toan\Downloads\qr - 2025-07-26T221645.7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6T221645.7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D5BDC" w14:textId="77777777" w:rsidR="00917513" w:rsidRDefault="00917513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E3D0BA2" w14:textId="30B4CDA4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020964F3" w14:textId="77777777" w:rsidTr="005B6AF2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EAFB" w14:textId="35624162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0B5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1.013061.H61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B35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giấy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trên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bộ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đang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thác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DF8F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13DFE315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43356A1" w14:textId="10994161" w:rsidR="002B080C" w:rsidRPr="00981FAF" w:rsidRDefault="00DE102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328B8BBB" wp14:editId="74D86F40">
                  <wp:extent cx="1046480" cy="1046480"/>
                  <wp:effectExtent l="0" t="0" r="1270" b="1270"/>
                  <wp:docPr id="5235013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1652C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39F16B9" w14:textId="53C205E5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4EDA27D7" w14:textId="77777777" w:rsidTr="00F0546D">
        <w:trPr>
          <w:trHeight w:val="401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68C3" w14:textId="157309E5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A4E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1.009447.000.00.00.H61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CE89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bố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đóng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DC07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5479365E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0C318396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26FA28B5" w14:textId="4927854C" w:rsidR="002B080C" w:rsidRPr="00981FAF" w:rsidRDefault="00DE102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7D77E217" wp14:editId="32C96FF2">
                  <wp:extent cx="1046480" cy="1046480"/>
                  <wp:effectExtent l="0" t="0" r="1270" b="1270"/>
                  <wp:docPr id="14100838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E9F56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FD35206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8081C56" w14:textId="6F645B75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70689F95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3EBF" w14:textId="794F5FFE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DE7C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1.009465.000.00.00.H61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E43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bảo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đảm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an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toàn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thông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4CE1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0F658B15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0FC33A11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8CBA4C4" w14:textId="459567FD" w:rsidR="002B080C" w:rsidRPr="00981FAF" w:rsidRDefault="00DE102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5EDA8D9D" wp14:editId="6D60B9EB">
                  <wp:extent cx="1046480" cy="1046480"/>
                  <wp:effectExtent l="0" t="0" r="1270" b="1270"/>
                  <wp:docPr id="8812050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E7AB4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B7C0132" w14:textId="1B6784DC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1FD3EAB7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1169" w14:textId="75229040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3C4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1.009444.000.00.00.H61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F253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8729" w14:textId="77777777" w:rsidR="001F0C76" w:rsidRDefault="001F0C76" w:rsidP="005B6AF2">
            <w:pPr>
              <w:pStyle w:val="NormalWeb"/>
              <w:rPr>
                <w:noProof/>
                <w:sz w:val="28"/>
                <w:szCs w:val="28"/>
              </w:rPr>
            </w:pPr>
          </w:p>
          <w:p w14:paraId="7C60771C" w14:textId="77777777" w:rsidR="005455F7" w:rsidRDefault="005455F7" w:rsidP="005B6AF2">
            <w:pPr>
              <w:pStyle w:val="NormalWeb"/>
              <w:rPr>
                <w:noProof/>
                <w:sz w:val="28"/>
                <w:szCs w:val="28"/>
              </w:rPr>
            </w:pPr>
          </w:p>
          <w:p w14:paraId="611B5E7F" w14:textId="4F9759E5" w:rsidR="00396AB2" w:rsidRPr="00981FAF" w:rsidRDefault="00396AB2" w:rsidP="005B6AF2">
            <w:pPr>
              <w:pStyle w:val="NormalWeb"/>
              <w:rPr>
                <w:sz w:val="28"/>
                <w:szCs w:val="28"/>
              </w:rPr>
            </w:pPr>
            <w:r w:rsidRPr="00981FAF">
              <w:rPr>
                <w:noProof/>
                <w:sz w:val="28"/>
                <w:szCs w:val="28"/>
              </w:rPr>
              <w:drawing>
                <wp:inline distT="0" distB="0" distL="0" distR="0" wp14:anchorId="72051BE7" wp14:editId="7F343736">
                  <wp:extent cx="1085850" cy="1104900"/>
                  <wp:effectExtent l="0" t="0" r="0" b="0"/>
                  <wp:docPr id="1" name="Picture 1" descr="C:\Users\Ke Toan\Downloads\qr - 2025-07-26T215043.9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6T215043.9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47" cy="114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BC23E" w14:textId="77777777" w:rsidR="002B080C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EA8381D" w14:textId="2681EAD9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05D2D75C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85D" w14:textId="4A04E68E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FF01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2.001659.000.00.00.H61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C48C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Xóa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5CF7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1D225A36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D698E03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5F4D9583" w14:textId="49EB92BF" w:rsidR="002B080C" w:rsidRPr="00981FAF" w:rsidRDefault="00D6310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750A6516" wp14:editId="34CCD39D">
                  <wp:extent cx="1046480" cy="1046480"/>
                  <wp:effectExtent l="0" t="0" r="1270" b="1270"/>
                  <wp:docPr id="19642912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C2EF59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56FF7D2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325FA03" w14:textId="6E9A33F5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3D76A033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984" w14:textId="390DA071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D10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1.003930.000.00.00.H61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3374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Giấy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chứng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91C7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28ABFF7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3CFBDE4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DABAC0D" w14:textId="4FF34CA2" w:rsidR="002B080C" w:rsidRPr="00981FAF" w:rsidRDefault="00D6310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1574F124" wp14:editId="1E6F7449">
                  <wp:extent cx="1046480" cy="1046480"/>
                  <wp:effectExtent l="0" t="0" r="1270" b="1270"/>
                  <wp:docPr id="150618249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CE531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3B3FF1A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53DBC29" w14:textId="7217B2D2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3707FB3A" w14:textId="77777777" w:rsidTr="005B6AF2">
        <w:trPr>
          <w:trHeight w:val="9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ABDB" w14:textId="5AD0D422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68B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1.006391.000.00.00.H61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F00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hợp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chủ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thay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đổi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trụ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sở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hoặc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hộ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khẩu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trú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chủ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sang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hành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chính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tỉnh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khác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106A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0286081C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3CC9060" w14:textId="7B4E364C" w:rsidR="002B080C" w:rsidRPr="00981FAF" w:rsidRDefault="00D6310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580C5FE1" wp14:editId="0042D198">
                  <wp:extent cx="1046480" cy="1046480"/>
                  <wp:effectExtent l="0" t="0" r="1270" b="1270"/>
                  <wp:docPr id="94848435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8501F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9B027E0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9A827F0" w14:textId="7EF10320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3C16534F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C346" w14:textId="43B7282D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4128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1.003970.000.00.00.H61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3E26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hợp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chuyển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quyền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sở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hữu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đồng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thời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thay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đổi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quan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D00C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FFECCE0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207803F8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BCCC513" w14:textId="1D069467" w:rsidR="002B080C" w:rsidRPr="00981FAF" w:rsidRDefault="00D6310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24A7D89B" wp14:editId="7FA88D54">
                  <wp:extent cx="1046480" cy="1046480"/>
                  <wp:effectExtent l="0" t="0" r="1270" b="1270"/>
                  <wp:docPr id="101696400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88F03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A036541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BEE0E7F" w14:textId="352ACE85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60BD0C90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C40F" w14:textId="150D23A1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3C6E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1.004002.000.00.00.H61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1EA7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hợp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chuyển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quyền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sở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hữu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nhưng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thay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đổi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quan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4A1D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33045DD4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3F8EE08A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D75B993" w14:textId="49904AB5" w:rsidR="002B080C" w:rsidRPr="00981FAF" w:rsidRDefault="004D66D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28061467" wp14:editId="5ABD08D1">
                  <wp:extent cx="1046480" cy="1046480"/>
                  <wp:effectExtent l="0" t="0" r="1270" b="1270"/>
                  <wp:docPr id="20022350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31C79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1AD7C00" w14:textId="77777777" w:rsidR="005455F7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20FC973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16FCC94" w14:textId="74B63489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5D9EAF8B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D1B8" w14:textId="48731BBA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5EC8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2.001711.000.00.00.H61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773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hợp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thay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đổi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tên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tính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kỹ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9269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05380C6B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32C7444C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5CE24D6E" w14:textId="277AF2F4" w:rsidR="002B080C" w:rsidRPr="00981FAF" w:rsidRDefault="004D66D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0DDF7DAC" wp14:editId="776AE416">
                  <wp:extent cx="1046480" cy="1046480"/>
                  <wp:effectExtent l="0" t="0" r="1270" b="1270"/>
                  <wp:docPr id="120664342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B2287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105811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45316E6" w14:textId="77777777" w:rsidR="005455F7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9534AD8" w14:textId="7BB5F91C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62CD7201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550B" w14:textId="06ACF5D2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4FE7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1.004036.000.00.00.H61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20A5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hợp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chuyển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quan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khác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sang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quan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F8ED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84A98F5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11C18BE9" w14:textId="72B0160B" w:rsidR="002B080C" w:rsidRDefault="004D66D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7F4904FD" wp14:editId="74D701BF">
                  <wp:extent cx="1046480" cy="1046480"/>
                  <wp:effectExtent l="0" t="0" r="1270" b="1270"/>
                  <wp:docPr id="200811966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3C0C97" w14:textId="77777777" w:rsidR="001F0C76" w:rsidRPr="00981FAF" w:rsidRDefault="001F0C76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776F430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147179B" w14:textId="022C8253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3D0D7128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8E04" w14:textId="423404A5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0BF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1.004047.000.00.00.H61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B71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lần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đầu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đối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đang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thác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trên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60A9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56430030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1D432CF7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A08D984" w14:textId="636B0F9F" w:rsidR="002B080C" w:rsidRPr="00981FAF" w:rsidRDefault="004D66D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0D1FC3B3" wp14:editId="1FFE2B7C">
                  <wp:extent cx="1046480" cy="1046480"/>
                  <wp:effectExtent l="0" t="0" r="1270" b="1270"/>
                  <wp:docPr id="111342177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81C92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B88AF89" w14:textId="710A7661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24AAB45C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D0EA" w14:textId="696CE56E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827D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1.004088.000.00.00.H61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DB51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lần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đầu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đối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chưa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thác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trên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8878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6E317BF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0E4030C6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3DF0681C" w14:textId="2D075B24" w:rsidR="002B080C" w:rsidRPr="00981FAF" w:rsidRDefault="004D66D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7656C625" wp14:editId="07C4B270">
                  <wp:extent cx="1046480" cy="1046480"/>
                  <wp:effectExtent l="0" t="0" r="1270" b="1270"/>
                  <wp:docPr id="63683827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D0778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C2AB250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CF1671A" w14:textId="1A4AA251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575CE76F" w14:textId="77777777" w:rsidTr="005B6AF2">
        <w:trPr>
          <w:trHeight w:val="21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E731" w14:textId="56C5AF59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1E5E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2.001921.000.00.00.H61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AE46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mô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kích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thước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tổ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chức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biển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biển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tin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cổ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tuyên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truyền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chính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;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lắp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đặt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tầng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tầng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kỹ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dụng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chung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phạm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vi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bảo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vệ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kết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tầng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bộ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;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bộ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cần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thiết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để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xe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khổ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xe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quá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trọng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xe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bánh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xích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lưu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hành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trên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bộ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A11F" w14:textId="26ACECAE" w:rsidR="002B080C" w:rsidRPr="00981FAF" w:rsidRDefault="004D66D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5E919595" wp14:editId="2102E981">
                  <wp:extent cx="1046480" cy="1046480"/>
                  <wp:effectExtent l="0" t="0" r="1270" b="1270"/>
                  <wp:docPr id="93533923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80C" w:rsidRPr="00981FAF" w14:paraId="2026BB0A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6704" w14:textId="7F0E5363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17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830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1.005040.000.00.00.H61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BB12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Xác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hoặc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bổ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sung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1D84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2575D9B0" w14:textId="085F9BAD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F90CD9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82E51EB" w14:textId="17C44B02" w:rsidR="005455F7" w:rsidRPr="00981FAF" w:rsidRDefault="00723322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33E43B2" wp14:editId="607E54EE">
                  <wp:extent cx="1212850" cy="1212850"/>
                  <wp:effectExtent l="0" t="0" r="6350" b="6350"/>
                  <wp:docPr id="1056381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906F04" w14:textId="571FF0A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23829A9C" w14:textId="77777777" w:rsidTr="005B6AF2">
        <w:trPr>
          <w:trHeight w:val="15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4002" w14:textId="5AB91280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A3E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1.013227.H61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0B3C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giấy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đối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III,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IV (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ngưỡng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tôn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Tượng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đài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tranh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hoành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Sửa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chữa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)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ở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riêng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C70D" w14:textId="6DCEB8F3" w:rsidR="002B080C" w:rsidRPr="00981FAF" w:rsidRDefault="004D66D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7E21DFD0" wp14:editId="4D45819E">
                  <wp:extent cx="1046480" cy="1046480"/>
                  <wp:effectExtent l="0" t="0" r="1270" b="1270"/>
                  <wp:docPr id="46289021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80C" w:rsidRPr="00981FAF" w14:paraId="73D9BB69" w14:textId="77777777" w:rsidTr="005B6AF2">
        <w:trPr>
          <w:trHeight w:val="15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2205" w14:textId="0676D7E3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015F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1.013228.H61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4E09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giấy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đối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III,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IV (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ngưỡng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tôn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Tượng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đài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tranh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hoành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Sửa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chữa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)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ở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riêng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95C6" w14:textId="0162D324" w:rsidR="002B080C" w:rsidRPr="00981FAF" w:rsidRDefault="004D66D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34F40613" wp14:editId="43C73B94">
                  <wp:extent cx="1046480" cy="1046480"/>
                  <wp:effectExtent l="0" t="0" r="1270" b="1270"/>
                  <wp:docPr id="51951525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223" w:rsidRPr="00981FAF" w14:paraId="6E3A5BCF" w14:textId="77777777" w:rsidTr="005B6AF2">
        <w:trPr>
          <w:trHeight w:val="15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AFEC" w14:textId="24FE0679" w:rsidR="00D57223" w:rsidRPr="00981FAF" w:rsidRDefault="00D57223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9F1D" w14:textId="01CC9655" w:rsidR="00D57223" w:rsidRPr="00981FAF" w:rsidRDefault="00F0546D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hyperlink r:id="rId25" w:history="1">
              <w:r w:rsidR="00D57223" w:rsidRPr="00981FAF">
                <w:rPr>
                  <w:rStyle w:val="Hyperlink"/>
                  <w:rFonts w:cs="Times New Roman"/>
                  <w:szCs w:val="28"/>
                </w:rPr>
                <w:t>1.013061.H13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90615" w14:textId="18F043E2" w:rsidR="00D57223" w:rsidRPr="00981FAF" w:rsidRDefault="00D57223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Cấp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giấy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phép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thi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công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công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trình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trên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đường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bộ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đang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khai</w:t>
            </w:r>
            <w:proofErr w:type="spellEnd"/>
            <w:r w:rsidRPr="00981FAF">
              <w:rPr>
                <w:rFonts w:cs="Times New Roman"/>
                <w:color w:val="1E2F41"/>
                <w:szCs w:val="28"/>
              </w:rPr>
              <w:t xml:space="preserve"> </w:t>
            </w:r>
            <w:proofErr w:type="spellStart"/>
            <w:r w:rsidRPr="00981FAF">
              <w:rPr>
                <w:rFonts w:cs="Times New Roman"/>
                <w:color w:val="1E2F41"/>
                <w:szCs w:val="28"/>
              </w:rPr>
              <w:t>thác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A5B4" w14:textId="77777777" w:rsidR="001F0C76" w:rsidRDefault="001F0C76" w:rsidP="005B6AF2">
            <w:pPr>
              <w:pStyle w:val="NormalWeb"/>
              <w:rPr>
                <w:noProof/>
                <w:sz w:val="28"/>
                <w:szCs w:val="28"/>
              </w:rPr>
            </w:pPr>
          </w:p>
          <w:p w14:paraId="4AA63603" w14:textId="77777777" w:rsidR="005455F7" w:rsidRDefault="005455F7" w:rsidP="005B6AF2">
            <w:pPr>
              <w:pStyle w:val="NormalWeb"/>
              <w:rPr>
                <w:noProof/>
                <w:sz w:val="28"/>
                <w:szCs w:val="28"/>
              </w:rPr>
            </w:pPr>
          </w:p>
          <w:p w14:paraId="2EE3EF1A" w14:textId="657300F5" w:rsidR="00D57223" w:rsidRDefault="00D57223" w:rsidP="005B6AF2">
            <w:pPr>
              <w:pStyle w:val="NormalWeb"/>
              <w:rPr>
                <w:sz w:val="28"/>
                <w:szCs w:val="28"/>
              </w:rPr>
            </w:pPr>
            <w:r w:rsidRPr="00981FAF">
              <w:rPr>
                <w:noProof/>
                <w:sz w:val="28"/>
                <w:szCs w:val="28"/>
              </w:rPr>
              <w:drawing>
                <wp:inline distT="0" distB="0" distL="0" distR="0" wp14:anchorId="7958883E" wp14:editId="2B448EE2">
                  <wp:extent cx="1019175" cy="1019175"/>
                  <wp:effectExtent l="0" t="0" r="9525" b="9525"/>
                  <wp:docPr id="3" name="Picture 3" descr="C:\Users\Ke Toan\Downloads\qr - 2025-07-26T221907.7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 Toan\Downloads\qr - 2025-07-26T221907.7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3DDDD" w14:textId="77777777" w:rsidR="005455F7" w:rsidRPr="00981FAF" w:rsidRDefault="005455F7" w:rsidP="005B6AF2">
            <w:pPr>
              <w:pStyle w:val="NormalWeb"/>
              <w:rPr>
                <w:sz w:val="28"/>
                <w:szCs w:val="28"/>
              </w:rPr>
            </w:pPr>
          </w:p>
          <w:p w14:paraId="126B4FCA" w14:textId="5468E488" w:rsidR="00D57223" w:rsidRPr="00981FAF" w:rsidRDefault="00D57223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4E6ED928" w14:textId="77777777" w:rsidTr="005B6AF2">
        <w:trPr>
          <w:trHeight w:val="15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04D1" w14:textId="1B2E0FB6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011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1.013225.H61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35B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giấy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mới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đối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III,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IV (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ngưỡng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tôn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Tượng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đài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tranh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hoành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)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ở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riêng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3FE2" w14:textId="77777777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72A10C49" wp14:editId="1931B406">
                  <wp:extent cx="1046480" cy="1046480"/>
                  <wp:effectExtent l="0" t="0" r="1270" b="1270"/>
                  <wp:docPr id="170676723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D5954" w14:textId="46CCBE60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5E2492DA" w14:textId="77777777" w:rsidTr="005B6AF2">
        <w:trPr>
          <w:trHeight w:val="15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C2E1" w14:textId="72B61F8D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E212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1.013232.H61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615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giấy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di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dời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đối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III,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IV (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ngưỡng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tôn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Tượng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đài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tranh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hoành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)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ở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riêng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C0A6" w14:textId="74ECF0C5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3E2FF0D4" wp14:editId="646BDE08">
                  <wp:extent cx="1046480" cy="1046480"/>
                  <wp:effectExtent l="0" t="0" r="1270" b="1270"/>
                  <wp:docPr id="61139158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80C" w:rsidRPr="00981FAF" w14:paraId="4C9A5AA1" w14:textId="77777777" w:rsidTr="005B6AF2">
        <w:trPr>
          <w:trHeight w:val="15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9421" w14:textId="2A0ECC2D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526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1.013226.H61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A081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điều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chỉnh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giấy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đối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III,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IV (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ngưỡng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tôn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giáo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Tượng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đài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tranh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hoành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/Theo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giai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đoạn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đô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)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ở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riêng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5C91" w14:textId="37F529F8" w:rsidR="002B080C" w:rsidRPr="00981FAF" w:rsidRDefault="008D0114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F1344FD" wp14:editId="5357D0E1">
                  <wp:extent cx="1212850" cy="1212850"/>
                  <wp:effectExtent l="0" t="0" r="6350" b="6350"/>
                  <wp:docPr id="13466072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80C" w:rsidRPr="00981FAF" w14:paraId="3664C0CD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9EEA" w14:textId="7F1F1110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5B57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1.012888.H61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467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Ban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quản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nhà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chung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ED8B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E7B11D5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6DC9EE4" w14:textId="7123337C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75BF46E3" wp14:editId="7A1F5669">
                  <wp:extent cx="1046480" cy="1046480"/>
                  <wp:effectExtent l="0" t="0" r="1270" b="1270"/>
                  <wp:docPr id="123660475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C12E09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BDD7C65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9124F3" w14:textId="2DBDE1F8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59D8939A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530F" w14:textId="283920ED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5771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1.009455.000.00.00.H61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097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bố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khách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ngang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phục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vụ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chính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4AB5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79D8053" w14:textId="2AFA1C8A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48718F7C" wp14:editId="61BF11EB">
                  <wp:extent cx="1046480" cy="1046480"/>
                  <wp:effectExtent l="0" t="0" r="1270" b="1270"/>
                  <wp:docPr id="65224674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C4229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2C17931" w14:textId="358F6B0E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2FA43F2E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5F33" w14:textId="4952E5A5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26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02B6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1.009453.000.00.00.H61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027D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Thỏa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kỹ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khách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ngang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phục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vụ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chính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B2B9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CE607CF" w14:textId="77777777" w:rsidR="00D1154B" w:rsidRDefault="00D1154B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15B4A096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3F13510" w14:textId="46751BB4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5D94EAAB" wp14:editId="1F53826B">
                  <wp:extent cx="1046480" cy="1046480"/>
                  <wp:effectExtent l="0" t="0" r="1270" b="1270"/>
                  <wp:docPr id="688779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C08A3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75CA883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FB577B5" w14:textId="606A8336" w:rsidR="00D1154B" w:rsidRPr="00981FAF" w:rsidRDefault="00D1154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5A9F36F8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73F" w14:textId="2E39C244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E612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1.009454.000.00.00.H61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ED47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bố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CDB6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365629A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B0F8598" w14:textId="77777777" w:rsidR="00D1154B" w:rsidRDefault="00D1154B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6BCD97D" w14:textId="4D8145F3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1077FD05" wp14:editId="6E7F28F7">
                  <wp:extent cx="1046480" cy="1046480"/>
                  <wp:effectExtent l="0" t="0" r="1270" b="1270"/>
                  <wp:docPr id="11735358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56D91" w14:textId="7777777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11FFBE5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9BD5AC4" w14:textId="271792B8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08B8E2CA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9EC5" w14:textId="09B54F83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ACFA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1.009452.000.00.00.H61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E29D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Thỏa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kỹ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thuật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0C50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23B22065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03BC535E" w14:textId="77777777" w:rsidR="00D1154B" w:rsidRDefault="00D1154B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64F4CBF" w14:textId="230F796D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62ABC46C" wp14:editId="50C346C7">
                  <wp:extent cx="1046480" cy="1046480"/>
                  <wp:effectExtent l="0" t="0" r="1270" b="1270"/>
                  <wp:docPr id="136188071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F82B6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355963C" w14:textId="77777777" w:rsidR="005455F7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E257B2D" w14:textId="2C83B053" w:rsidR="00D1154B" w:rsidRPr="00981FAF" w:rsidRDefault="00D1154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7F72B4BC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1D0D" w14:textId="2C7698BB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4201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1.008455.000.00.00.H61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08BD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Cung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tin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về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hoạch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thuộc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thẩm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quyền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UBND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xã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6022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3A114751" w14:textId="77777777" w:rsidR="00D1154B" w:rsidRDefault="00D1154B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517FB05C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86EF64B" w14:textId="4B5686D7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18419015" wp14:editId="729171AF">
                  <wp:extent cx="1046480" cy="1046480"/>
                  <wp:effectExtent l="0" t="0" r="1270" b="1270"/>
                  <wp:docPr id="2114726770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2FE29F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847C64E" w14:textId="77777777" w:rsidR="005455F7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02D1579" w14:textId="78CEAD83" w:rsidR="00D1154B" w:rsidRPr="00981FAF" w:rsidRDefault="00D1154B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49D28FC9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7AFE" w14:textId="678FEE54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30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554A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2.001212.000.00.00.H61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CAD5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Giấy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chứng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vui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dưới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6E36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5D05A6FF" w14:textId="0B1C4C15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34ABC468" wp14:editId="02903D6F">
                  <wp:extent cx="1046480" cy="1046480"/>
                  <wp:effectExtent l="0" t="0" r="1270" b="1270"/>
                  <wp:docPr id="150555877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C503C7" w14:textId="35C93005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597C2542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EDF5" w14:textId="5EE3C06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A4F8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2.001211.000.00.00.H61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BD8C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Xóa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vui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dưới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60CC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21EF0A23" w14:textId="399BCA79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75136BEE" wp14:editId="658D8E12">
                  <wp:extent cx="1046480" cy="1046480"/>
                  <wp:effectExtent l="0" t="0" r="1270" b="1270"/>
                  <wp:docPr id="17279478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1ACAD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68C7CA7" w14:textId="068D3EC6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3CAF2072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2BAD" w14:textId="0D157708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32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3608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2.001214.000.00.00.H61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4DC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vui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dưới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BBDA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509165C2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34615640" w14:textId="3159795B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4D797F98" wp14:editId="009EC238">
                  <wp:extent cx="1046480" cy="1046480"/>
                  <wp:effectExtent l="0" t="0" r="1270" b="1270"/>
                  <wp:docPr id="180244864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8C62D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9E06B90" w14:textId="77777777" w:rsidR="005455F7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656419A" w14:textId="62EA9141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7D805FC9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9433" w14:textId="66E4BF91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33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39C0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2.001215.000.00.00.H61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50B1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Đăng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ký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phương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tiện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vui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giải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dưới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lần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đầu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59AC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B3ABEF6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E972F23" w14:textId="318B61FC" w:rsidR="002B080C" w:rsidRPr="00981FAF" w:rsidRDefault="005C6B5E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3E167043" wp14:editId="2148CAF4">
                  <wp:extent cx="1046480" cy="1046480"/>
                  <wp:effectExtent l="0" t="0" r="1270" b="1270"/>
                  <wp:docPr id="22028562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76B7A0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9C67D40" w14:textId="23DE0878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39BFD37E" w14:textId="77777777" w:rsidTr="005B6AF2">
        <w:trPr>
          <w:trHeight w:val="12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91AA" w14:textId="44A1507D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34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F31D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2.001218.000.00.00.H61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5688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bố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mở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vùng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khác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thuộc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vùng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trên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vùng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biển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hoặc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vực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hàng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đánh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dấu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xác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phao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hoặc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cờ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hiệu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có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màu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sắc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dễ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quan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sát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8579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9747623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262CBB92" w14:textId="356F2D52" w:rsidR="002B080C" w:rsidRPr="00981FAF" w:rsidRDefault="00B618B5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53883B17" wp14:editId="4621B82A">
                  <wp:extent cx="1046480" cy="1046480"/>
                  <wp:effectExtent l="0" t="0" r="1270" b="1270"/>
                  <wp:docPr id="209498367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71362" w14:textId="77777777" w:rsidR="00CD28D8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AEC1AAD" w14:textId="77777777" w:rsidR="005455F7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61685AE" w14:textId="7658AC21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6F325D7A" w14:textId="77777777" w:rsidTr="005B6AF2">
        <w:trPr>
          <w:trHeight w:val="12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4B63" w14:textId="4DD5F768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35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DACD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2.001217.000.00.00.H61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A909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Đóng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phép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vùng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khác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thuộc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vùng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trên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tuyến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đường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vùng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nước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cảng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biển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hoặc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khu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vực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hàng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hải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đánh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dấu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xác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vị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trí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phao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hoặc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cờ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hiệu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có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màu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sắc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dễ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quan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sát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A3EB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6A75CDF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1F1DB660" w14:textId="2BC52EF6" w:rsidR="002B080C" w:rsidRDefault="00B618B5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0449AF7D" wp14:editId="6062B760">
                  <wp:extent cx="1046480" cy="1046480"/>
                  <wp:effectExtent l="0" t="0" r="1270" b="1270"/>
                  <wp:docPr id="802943178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E4054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BDCB1CF" w14:textId="1C3FAAA2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1A9143F4" w14:textId="77777777" w:rsidTr="005B6AF2">
        <w:trPr>
          <w:trHeight w:val="9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F186" w14:textId="0D15C75D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36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AA92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1.002662.000.00.00.H61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9DD9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tục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thẩm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nhiệm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vụ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nhiệm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vụ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điều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chỉnh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hoạch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chi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tiết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đầu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tư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thức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kinh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doanh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thuộc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thẩm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quyền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phê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duyệt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UBND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xã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9D01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21F28658" w14:textId="2605F8B2" w:rsidR="002B080C" w:rsidRDefault="00B618B5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18CD0EDD" wp14:editId="67AC8477">
                  <wp:extent cx="1046480" cy="1046480"/>
                  <wp:effectExtent l="0" t="0" r="1270" b="1270"/>
                  <wp:docPr id="18616844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D6387" w14:textId="77777777" w:rsidR="005455F7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3C520C0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8265C96" w14:textId="09FD3D6B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013C9F7B" w14:textId="77777777" w:rsidTr="005B6AF2">
        <w:trPr>
          <w:trHeight w:val="9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A382" w14:textId="3CF9FAFE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37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9115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1.003141.000.00.00.H61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12E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Thẩm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đồ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đồ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điều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chỉnh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hoạch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chi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tiết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án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đầu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tư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xây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dựng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hình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thức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kinh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doanh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thuộc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thẩm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quyền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phê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duyệt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UBND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cấp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xã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F758" w14:textId="77777777" w:rsidR="001F0C76" w:rsidRDefault="001F0C76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36E550D6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798DB436" w14:textId="1267E5BD" w:rsidR="002B080C" w:rsidRDefault="00B618B5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58FD625D" wp14:editId="33FC0DDC">
                  <wp:extent cx="1046480" cy="1046480"/>
                  <wp:effectExtent l="0" t="0" r="1270" b="1270"/>
                  <wp:docPr id="1249290391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C7AD4" w14:textId="77777777" w:rsidR="005455F7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CB9791C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C04C9E5" w14:textId="2064D0E8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B080C" w:rsidRPr="00981FAF" w14:paraId="6F6F9965" w14:textId="77777777" w:rsidTr="005B6AF2">
        <w:trPr>
          <w:trHeight w:val="6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D042" w14:textId="7E5FFEFF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38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2BA6" w14:textId="77777777" w:rsidR="002B080C" w:rsidRPr="00981FAF" w:rsidRDefault="002B080C" w:rsidP="005B6AF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1.003658.000.00.00.H61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6313" w14:textId="77777777" w:rsidR="002B080C" w:rsidRPr="00981FAF" w:rsidRDefault="002B080C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bố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lại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hoạt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động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bến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thủy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nội</w:t>
            </w:r>
            <w:proofErr w:type="spellEnd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981FAF">
              <w:rPr>
                <w:rFonts w:eastAsia="Times New Roman" w:cs="Times New Roman"/>
                <w:kern w:val="0"/>
                <w:szCs w:val="28"/>
                <w14:ligatures w14:val="none"/>
              </w:rPr>
              <w:t>địa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EDA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4A05F6D6" w14:textId="77777777" w:rsidR="005455F7" w:rsidRDefault="005455F7" w:rsidP="005B6AF2">
            <w:pPr>
              <w:spacing w:after="0" w:line="240" w:lineRule="auto"/>
              <w:rPr>
                <w:rFonts w:cs="Times New Roman"/>
                <w:noProof/>
                <w:szCs w:val="28"/>
              </w:rPr>
            </w:pPr>
          </w:p>
          <w:p w14:paraId="6DF5B291" w14:textId="7CD31CD4" w:rsidR="002B080C" w:rsidRDefault="00B618B5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81FAF">
              <w:rPr>
                <w:rFonts w:cs="Times New Roman"/>
                <w:noProof/>
                <w:szCs w:val="28"/>
              </w:rPr>
              <w:drawing>
                <wp:inline distT="0" distB="0" distL="0" distR="0" wp14:anchorId="6A5C2EAB" wp14:editId="2352A120">
                  <wp:extent cx="1046480" cy="1046480"/>
                  <wp:effectExtent l="0" t="0" r="1270" b="1270"/>
                  <wp:docPr id="136617751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40F62" w14:textId="77777777" w:rsidR="005455F7" w:rsidRPr="00981FAF" w:rsidRDefault="005455F7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4489103" w14:textId="2CC882E7" w:rsidR="00CD28D8" w:rsidRPr="00981FAF" w:rsidRDefault="00CD28D8" w:rsidP="005B6AF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4C10D7E0" w14:textId="10C80C1C" w:rsidR="00162BB8" w:rsidRDefault="00162BB8"/>
    <w:sectPr w:rsidR="00162BB8" w:rsidSect="00CD28D8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6E"/>
    <w:rsid w:val="000B5906"/>
    <w:rsid w:val="000F266B"/>
    <w:rsid w:val="00116B4C"/>
    <w:rsid w:val="00162BB8"/>
    <w:rsid w:val="001F0C76"/>
    <w:rsid w:val="00260247"/>
    <w:rsid w:val="002B080C"/>
    <w:rsid w:val="00396AB2"/>
    <w:rsid w:val="0042160D"/>
    <w:rsid w:val="004D66DB"/>
    <w:rsid w:val="004F6926"/>
    <w:rsid w:val="005455F7"/>
    <w:rsid w:val="005A746F"/>
    <w:rsid w:val="005B6AF2"/>
    <w:rsid w:val="005C6B5E"/>
    <w:rsid w:val="006A3683"/>
    <w:rsid w:val="006B5800"/>
    <w:rsid w:val="00723322"/>
    <w:rsid w:val="008B6430"/>
    <w:rsid w:val="008D0114"/>
    <w:rsid w:val="00917513"/>
    <w:rsid w:val="00981FAF"/>
    <w:rsid w:val="00B618B5"/>
    <w:rsid w:val="00BD186E"/>
    <w:rsid w:val="00C92DBC"/>
    <w:rsid w:val="00CA2DDB"/>
    <w:rsid w:val="00CD28D8"/>
    <w:rsid w:val="00D1154B"/>
    <w:rsid w:val="00D57223"/>
    <w:rsid w:val="00D6310E"/>
    <w:rsid w:val="00DC39CE"/>
    <w:rsid w:val="00DD7263"/>
    <w:rsid w:val="00DE1028"/>
    <w:rsid w:val="00F0546D"/>
    <w:rsid w:val="00F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F74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8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8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8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8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8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8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8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86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8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8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8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8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8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8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8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86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8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6AB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175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8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8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8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8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8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8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8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86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8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8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8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8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8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8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8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86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8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6AB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175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thutuc.dichvucong.gov.vn/p/home/dvc-tthc-thu-tuc-hanh-chinh-chi-tiet.html?ma_thu_tuc=366539" TargetMode="External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hyperlink" Target="https://thutuc.dichvucong.gov.vn/p/home/dvc-tthc-thu-tuc-hanh-chinh-chi-tiet.html?ma_thu_tuc=201144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20</cp:revision>
  <cp:lastPrinted>2025-08-04T06:23:00Z</cp:lastPrinted>
  <dcterms:created xsi:type="dcterms:W3CDTF">2025-07-26T14:46:00Z</dcterms:created>
  <dcterms:modified xsi:type="dcterms:W3CDTF">2025-08-04T06:24:00Z</dcterms:modified>
</cp:coreProperties>
</file>